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957B" w14:textId="77777777" w:rsidR="00453D5B" w:rsidRPr="007D2382" w:rsidRDefault="00453D5B" w:rsidP="00453D5B">
      <w:pPr>
        <w:pStyle w:val="ListParagraph"/>
        <w:rPr>
          <w:rFonts w:ascii="Century Gothic" w:hAnsi="Century Gothic"/>
          <w:sz w:val="18"/>
          <w:szCs w:val="18"/>
        </w:rPr>
      </w:pPr>
      <w:r w:rsidRPr="007D2382">
        <w:rPr>
          <w:rFonts w:ascii="Century Gothic" w:hAnsi="Century Gothic"/>
          <w:sz w:val="18"/>
          <w:szCs w:val="18"/>
        </w:rPr>
        <w:t xml:space="preserve">The College holds several funds which cater for different groups. Use the tables on these pages to find out if you are eligible. These tables are only a </w:t>
      </w:r>
      <w:proofErr w:type="gramStart"/>
      <w:r w:rsidRPr="007D2382">
        <w:rPr>
          <w:rFonts w:ascii="Century Gothic" w:hAnsi="Century Gothic"/>
          <w:sz w:val="18"/>
          <w:szCs w:val="18"/>
        </w:rPr>
        <w:t>guide</w:t>
      </w:r>
      <w:proofErr w:type="gramEnd"/>
      <w:r w:rsidRPr="007D2382">
        <w:rPr>
          <w:rFonts w:ascii="Century Gothic" w:hAnsi="Century Gothic"/>
          <w:sz w:val="18"/>
          <w:szCs w:val="18"/>
        </w:rPr>
        <w:t xml:space="preserve"> and awards are NOT guaranteed. Once we have assessed your </w:t>
      </w:r>
      <w:proofErr w:type="gramStart"/>
      <w:r w:rsidRPr="007D2382">
        <w:rPr>
          <w:rFonts w:ascii="Century Gothic" w:hAnsi="Century Gothic"/>
          <w:sz w:val="18"/>
          <w:szCs w:val="18"/>
        </w:rPr>
        <w:t>application</w:t>
      </w:r>
      <w:proofErr w:type="gramEnd"/>
      <w:r w:rsidRPr="007D2382">
        <w:rPr>
          <w:rFonts w:ascii="Century Gothic" w:hAnsi="Century Gothic"/>
          <w:sz w:val="18"/>
          <w:szCs w:val="18"/>
        </w:rPr>
        <w:t xml:space="preserve"> we will write to confirm your award.</w:t>
      </w:r>
    </w:p>
    <w:p w14:paraId="5AA93D8A" w14:textId="77777777" w:rsidR="00453D5B" w:rsidRPr="007D2382" w:rsidRDefault="00453D5B" w:rsidP="00453D5B">
      <w:pPr>
        <w:pStyle w:val="ListParagraph"/>
        <w:rPr>
          <w:rFonts w:ascii="Century Gothic" w:hAnsi="Century Gothic"/>
          <w:sz w:val="18"/>
          <w:szCs w:val="18"/>
        </w:rPr>
      </w:pPr>
    </w:p>
    <w:p w14:paraId="29AAB744" w14:textId="77777777" w:rsidR="00453D5B" w:rsidRPr="007D2382" w:rsidRDefault="00453D5B" w:rsidP="00453D5B">
      <w:pPr>
        <w:pStyle w:val="ListParagraph"/>
        <w:rPr>
          <w:rFonts w:ascii="Century Gothic" w:hAnsi="Century Gothic"/>
          <w:b/>
          <w:sz w:val="18"/>
          <w:szCs w:val="18"/>
        </w:rPr>
      </w:pPr>
      <w:r w:rsidRPr="007D2382">
        <w:rPr>
          <w:rFonts w:ascii="Century Gothic" w:hAnsi="Century Gothic"/>
          <w:b/>
          <w:sz w:val="18"/>
          <w:szCs w:val="18"/>
        </w:rPr>
        <w:t>19+ Learner Support Fund/ Loans Bursary</w:t>
      </w:r>
      <w:r>
        <w:rPr>
          <w:rFonts w:ascii="Century Gothic" w:hAnsi="Century Gothic"/>
          <w:b/>
          <w:sz w:val="18"/>
          <w:szCs w:val="18"/>
        </w:rPr>
        <w:t xml:space="preserve"> Fund</w:t>
      </w:r>
    </w:p>
    <w:p w14:paraId="15458745" w14:textId="77777777" w:rsidR="00453D5B" w:rsidRDefault="00453D5B" w:rsidP="00453D5B">
      <w:pPr>
        <w:pStyle w:val="ListParagraph"/>
        <w:rPr>
          <w:rFonts w:ascii="Century Gothic" w:hAnsi="Century Gothic"/>
          <w:sz w:val="18"/>
          <w:szCs w:val="18"/>
        </w:rPr>
      </w:pPr>
      <w:r w:rsidRPr="007D2382">
        <w:rPr>
          <w:rFonts w:ascii="Century Gothic" w:hAnsi="Century Gothic"/>
          <w:sz w:val="18"/>
          <w:szCs w:val="18"/>
        </w:rPr>
        <w:t>The Following students can access this fund if they meet the eligibility criteria in the table below:</w:t>
      </w:r>
    </w:p>
    <w:p w14:paraId="6A44DD5F" w14:textId="07B9C77E" w:rsidR="004C3956" w:rsidRPr="004C3956" w:rsidRDefault="00453D5B" w:rsidP="004C3956">
      <w:pPr>
        <w:pStyle w:val="ListParagraph"/>
        <w:rPr>
          <w:rFonts w:ascii="Century Gothic" w:hAnsi="Century Gothic"/>
          <w:sz w:val="18"/>
          <w:szCs w:val="18"/>
        </w:rPr>
      </w:pPr>
      <w:r w:rsidRPr="00283044">
        <w:rPr>
          <w:rFonts w:ascii="Century Gothic" w:hAnsi="Century Gothic"/>
          <w:sz w:val="18"/>
          <w:szCs w:val="18"/>
        </w:rPr>
        <w:t>Students aged 19+ in further education but NOT students aged 19 on 31</w:t>
      </w:r>
      <w:r w:rsidRPr="00283044">
        <w:rPr>
          <w:rFonts w:ascii="Century Gothic" w:hAnsi="Century Gothic"/>
          <w:sz w:val="18"/>
          <w:szCs w:val="18"/>
          <w:vertAlign w:val="superscript"/>
        </w:rPr>
        <w:t>st</w:t>
      </w:r>
      <w:r w:rsidRPr="00283044">
        <w:rPr>
          <w:rFonts w:ascii="Century Gothic" w:hAnsi="Century Gothic"/>
          <w:sz w:val="18"/>
          <w:szCs w:val="18"/>
        </w:rPr>
        <w:t xml:space="preserve"> August 20</w:t>
      </w:r>
      <w:r w:rsidR="00DE41AB">
        <w:rPr>
          <w:rFonts w:ascii="Century Gothic" w:hAnsi="Century Gothic"/>
          <w:sz w:val="18"/>
          <w:szCs w:val="18"/>
        </w:rPr>
        <w:t>24</w:t>
      </w:r>
      <w:r w:rsidRPr="00283044">
        <w:rPr>
          <w:rFonts w:ascii="Century Gothic" w:hAnsi="Century Gothic"/>
          <w:sz w:val="18"/>
          <w:szCs w:val="18"/>
        </w:rPr>
        <w:t xml:space="preserve"> and on the 2</w:t>
      </w:r>
      <w:r w:rsidRPr="00283044">
        <w:rPr>
          <w:rFonts w:ascii="Century Gothic" w:hAnsi="Century Gothic"/>
          <w:sz w:val="18"/>
          <w:szCs w:val="18"/>
          <w:vertAlign w:val="superscript"/>
        </w:rPr>
        <w:t>nd</w:t>
      </w:r>
      <w:r w:rsidRPr="00283044">
        <w:rPr>
          <w:rFonts w:ascii="Century Gothic" w:hAnsi="Century Gothic"/>
          <w:sz w:val="18"/>
          <w:szCs w:val="18"/>
        </w:rPr>
        <w:t xml:space="preserve"> year of their Level 3 course, these students should </w:t>
      </w:r>
      <w:r>
        <w:rPr>
          <w:rFonts w:ascii="Century Gothic" w:hAnsi="Century Gothic"/>
          <w:sz w:val="18"/>
          <w:szCs w:val="18"/>
        </w:rPr>
        <w:t>apply to the 16-18 bursary fund.</w:t>
      </w:r>
      <w:r w:rsidR="004C3956">
        <w:rPr>
          <w:rFonts w:ascii="Century Gothic" w:hAnsi="Century Gothic"/>
          <w:sz w:val="18"/>
          <w:szCs w:val="18"/>
        </w:rPr>
        <w:t xml:space="preserve">  If you are 19-25 and in receipt of an EHCP you will need to apply through the 16-18 Bursary fund.</w:t>
      </w:r>
    </w:p>
    <w:tbl>
      <w:tblPr>
        <w:tblpPr w:leftFromText="180" w:rightFromText="180" w:vertAnchor="text" w:tblpY="1"/>
        <w:tblOverlap w:val="never"/>
        <w:tblW w:w="15634" w:type="dxa"/>
        <w:tblLayout w:type="fixed"/>
        <w:tblLook w:val="04A0" w:firstRow="1" w:lastRow="0" w:firstColumn="1" w:lastColumn="0" w:noHBand="0" w:noVBand="1"/>
      </w:tblPr>
      <w:tblGrid>
        <w:gridCol w:w="1608"/>
        <w:gridCol w:w="4032"/>
        <w:gridCol w:w="1343"/>
        <w:gridCol w:w="1612"/>
        <w:gridCol w:w="1479"/>
        <w:gridCol w:w="1687"/>
        <w:gridCol w:w="1403"/>
        <w:gridCol w:w="2470"/>
      </w:tblGrid>
      <w:tr w:rsidR="00453D5B" w:rsidRPr="00A265C1" w14:paraId="4021F0B2" w14:textId="77777777" w:rsidTr="005C2518">
        <w:trPr>
          <w:trHeight w:val="126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0A8980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</w:rPr>
            </w:pPr>
            <w:r w:rsidRPr="009D120F">
              <w:rPr>
                <w:rFonts w:ascii="Century Gothic" w:hAnsi="Century Gothic"/>
              </w:rPr>
              <w:t>BURSARY FUND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49A3FA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D120F">
              <w:rPr>
                <w:rFonts w:ascii="Century Gothic" w:hAnsi="Century Gothic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249BAB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D120F">
              <w:rPr>
                <w:rFonts w:ascii="Century Gothic" w:hAnsi="Century Gothic"/>
                <w:b/>
                <w:bCs/>
                <w:sz w:val="18"/>
                <w:szCs w:val="18"/>
              </w:rPr>
              <w:t>Course fees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74ADB0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D120F">
              <w:rPr>
                <w:rFonts w:ascii="Century Gothic" w:hAnsi="Century Gothic"/>
                <w:b/>
                <w:bCs/>
                <w:sz w:val="18"/>
                <w:szCs w:val="18"/>
              </w:rPr>
              <w:t>Help with Travel costs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038061C" w14:textId="77777777" w:rsidR="00453D5B" w:rsidRPr="008D39BB" w:rsidRDefault="00453D5B" w:rsidP="005C2518">
            <w:pPr>
              <w:jc w:val="center"/>
              <w:rPr>
                <w:b/>
                <w:sz w:val="18"/>
                <w:szCs w:val="18"/>
              </w:rPr>
            </w:pPr>
            <w:r w:rsidRPr="008D39BB">
              <w:rPr>
                <w:b/>
                <w:sz w:val="18"/>
                <w:szCs w:val="18"/>
              </w:rPr>
              <w:t>Kit/Uniform/Material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6699"/>
            <w:vAlign w:val="center"/>
          </w:tcPr>
          <w:p w14:paraId="304F63D2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D120F">
              <w:rPr>
                <w:rFonts w:ascii="Century Gothic" w:hAnsi="Century Gothic"/>
                <w:b/>
                <w:bCs/>
                <w:sz w:val="18"/>
                <w:szCs w:val="18"/>
              </w:rPr>
              <w:t>Help with Childcare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nil"/>
            </w:tcBorders>
            <w:shd w:val="clear" w:color="000000" w:fill="CA67F7"/>
            <w:vAlign w:val="center"/>
          </w:tcPr>
          <w:p w14:paraId="70B54EAC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D120F">
              <w:rPr>
                <w:rFonts w:ascii="Century Gothic" w:hAnsi="Century Gothic"/>
                <w:b/>
                <w:bCs/>
                <w:sz w:val="18"/>
                <w:szCs w:val="18"/>
              </w:rPr>
              <w:t>Additional Learning Support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CC99"/>
            <w:vAlign w:val="center"/>
            <w:hideMark/>
          </w:tcPr>
          <w:p w14:paraId="7697FF16" w14:textId="77777777" w:rsidR="00453D5B" w:rsidRPr="009D120F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D120F">
              <w:rPr>
                <w:rFonts w:ascii="Century Gothic" w:hAnsi="Century Gothic"/>
                <w:b/>
                <w:bCs/>
                <w:sz w:val="18"/>
                <w:szCs w:val="18"/>
              </w:rPr>
              <w:t>Contribution to University Application and Open Day Visits</w:t>
            </w:r>
          </w:p>
        </w:tc>
      </w:tr>
      <w:tr w:rsidR="00453D5B" w:rsidRPr="00A265C1" w14:paraId="4F0E2FB4" w14:textId="77777777" w:rsidTr="005C2518">
        <w:trPr>
          <w:trHeight w:val="69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A052" w14:textId="77777777" w:rsidR="00453D5B" w:rsidRPr="009D120F" w:rsidRDefault="00453D5B" w:rsidP="005C2518">
            <w:pPr>
              <w:pStyle w:val="NoSpacing"/>
              <w:rPr>
                <w:b/>
              </w:rPr>
            </w:pPr>
            <w:r w:rsidRPr="009D120F">
              <w:rPr>
                <w:b/>
              </w:rPr>
              <w:t>19+ Loans Bursary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26AD1" w14:textId="3742D8EB" w:rsidR="00453D5B" w:rsidRPr="00C73DFF" w:rsidRDefault="00453D5B" w:rsidP="005C2518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3DFF">
              <w:rPr>
                <w:rFonts w:ascii="Century Gothic" w:hAnsi="Century Gothic"/>
                <w:sz w:val="16"/>
                <w:szCs w:val="16"/>
              </w:rPr>
              <w:t>Full or part time student in receipt of an Advanced Learner Loan and with a 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ousehold income of less than </w:t>
            </w:r>
            <w:r w:rsidRPr="00A10095">
              <w:rPr>
                <w:rFonts w:ascii="Century Gothic" w:hAnsi="Century Gothic"/>
                <w:b/>
                <w:bCs/>
                <w:sz w:val="16"/>
                <w:szCs w:val="16"/>
              </w:rPr>
              <w:t>£3</w:t>
            </w:r>
            <w:r w:rsidR="005D39E9"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A10095">
              <w:rPr>
                <w:rFonts w:ascii="Century Gothic" w:hAnsi="Century Gothic"/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28A5AC" w14:textId="77777777" w:rsidR="00453D5B" w:rsidRPr="00A265C1" w:rsidRDefault="00453D5B" w:rsidP="005C2518">
            <w:pPr>
              <w:pStyle w:val="NoSpacing"/>
              <w:ind w:left="283"/>
            </w:pPr>
            <w:r>
              <w:t>No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97D7" w14:textId="77777777" w:rsidR="00453D5B" w:rsidRPr="00A265C1" w:rsidRDefault="00453D5B" w:rsidP="005C2518">
            <w:pPr>
              <w:pStyle w:val="NoSpacing"/>
              <w:ind w:left="283"/>
            </w:pPr>
            <w:r>
              <w:t xml:space="preserve">   Yes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392" w14:textId="77777777" w:rsidR="00453D5B" w:rsidRDefault="00453D5B" w:rsidP="005C2518">
            <w:pPr>
              <w:pStyle w:val="NoSpacing"/>
            </w:pPr>
            <w:r>
              <w:t xml:space="preserve">         Yes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3EA88" w14:textId="2A48F1FF" w:rsidR="00453D5B" w:rsidRPr="00A265C1" w:rsidRDefault="00453D5B" w:rsidP="005C2518">
            <w:pPr>
              <w:pStyle w:val="NoSpacing"/>
              <w:jc w:val="center"/>
            </w:pPr>
            <w:r>
              <w:t>Maximum of £1</w:t>
            </w:r>
            <w:r w:rsidR="000B7551">
              <w:t>50</w:t>
            </w:r>
            <w:r>
              <w:t xml:space="preserve"> Per Week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2BDD" w14:textId="77777777" w:rsidR="00453D5B" w:rsidRPr="00A265C1" w:rsidRDefault="00453D5B" w:rsidP="005C2518">
            <w:pPr>
              <w:pStyle w:val="NoSpacing"/>
            </w:pPr>
            <w:r>
              <w:t xml:space="preserve">       Yes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48990" w14:textId="77777777" w:rsidR="00453D5B" w:rsidRPr="00A265C1" w:rsidRDefault="00453D5B" w:rsidP="005C2518">
            <w:pPr>
              <w:pStyle w:val="NoSpacing"/>
              <w:ind w:left="283"/>
              <w:jc w:val="center"/>
            </w:pPr>
            <w:r>
              <w:t>No</w:t>
            </w:r>
          </w:p>
        </w:tc>
      </w:tr>
      <w:tr w:rsidR="00453D5B" w:rsidRPr="00A265C1" w14:paraId="53D38FE9" w14:textId="77777777" w:rsidTr="005C2518">
        <w:trPr>
          <w:cantSplit/>
          <w:trHeight w:val="113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F6C9" w14:textId="77777777" w:rsidR="00453D5B" w:rsidRPr="009D120F" w:rsidRDefault="00453D5B" w:rsidP="005C2518">
            <w:pPr>
              <w:pStyle w:val="NoSpacing"/>
              <w:rPr>
                <w:b/>
              </w:rPr>
            </w:pPr>
            <w:r w:rsidRPr="009D120F">
              <w:rPr>
                <w:b/>
              </w:rPr>
              <w:t>19+ Discretionary Learner Support Fund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95023A4" w14:textId="107E5E92" w:rsidR="0035442B" w:rsidRDefault="00453D5B" w:rsidP="005C25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73DFF">
              <w:rPr>
                <w:rFonts w:ascii="Century Gothic" w:hAnsi="Century Gothic"/>
                <w:sz w:val="16"/>
                <w:szCs w:val="16"/>
              </w:rPr>
              <w:t>Full or part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time student on an eligible </w:t>
            </w:r>
            <w:r w:rsidRPr="00C73DFF">
              <w:rPr>
                <w:rFonts w:ascii="Century Gothic" w:hAnsi="Century Gothic"/>
                <w:sz w:val="16"/>
                <w:szCs w:val="16"/>
              </w:rPr>
              <w:t>course with an income as follows:</w:t>
            </w:r>
          </w:p>
          <w:p w14:paraId="5ED94A1C" w14:textId="7A46001D" w:rsidR="00453D5B" w:rsidRPr="0035442B" w:rsidRDefault="00453D5B" w:rsidP="005C25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0FCEF6F" w14:textId="6D4BB846" w:rsidR="00453D5B" w:rsidRPr="00C73DFF" w:rsidRDefault="00453D5B" w:rsidP="005C25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10095">
              <w:rPr>
                <w:rFonts w:ascii="Century Gothic" w:hAnsi="Century Gothic"/>
                <w:b/>
                <w:bCs/>
                <w:sz w:val="16"/>
                <w:szCs w:val="16"/>
              </w:rPr>
              <w:t>£3</w:t>
            </w:r>
            <w:r w:rsidR="005D39E9"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A10095">
              <w:rPr>
                <w:rFonts w:ascii="Century Gothic" w:hAnsi="Century Gothic"/>
                <w:b/>
                <w:bCs/>
                <w:sz w:val="16"/>
                <w:szCs w:val="16"/>
              </w:rPr>
              <w:t>,000</w:t>
            </w:r>
            <w:r w:rsidRPr="00C73DFF">
              <w:rPr>
                <w:rFonts w:ascii="Century Gothic" w:hAnsi="Century Gothic"/>
                <w:sz w:val="16"/>
                <w:szCs w:val="16"/>
              </w:rPr>
              <w:t xml:space="preserve"> or under for applicants living with a partner and/or children. We will deduct £1,000 from annual household income for each child in education </w:t>
            </w:r>
            <w:r w:rsidR="005D39E9">
              <w:rPr>
                <w:rFonts w:ascii="Century Gothic" w:hAnsi="Century Gothic"/>
                <w:sz w:val="16"/>
                <w:szCs w:val="16"/>
              </w:rPr>
              <w:t>under the age of 19</w:t>
            </w:r>
          </w:p>
          <w:p w14:paraId="242F1DCB" w14:textId="7227907D" w:rsidR="0035442B" w:rsidRPr="00C73DFF" w:rsidRDefault="00453D5B" w:rsidP="005C2518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73DFF">
              <w:rPr>
                <w:rFonts w:ascii="Century Gothic" w:hAnsi="Century Gothic"/>
                <w:b/>
                <w:sz w:val="16"/>
                <w:szCs w:val="16"/>
              </w:rPr>
              <w:t>OR</w:t>
            </w:r>
          </w:p>
          <w:p w14:paraId="7CC26751" w14:textId="6CD4ED0D" w:rsidR="00453D5B" w:rsidRPr="00C73DFF" w:rsidRDefault="00453D5B" w:rsidP="005C25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73DFF">
              <w:rPr>
                <w:rFonts w:ascii="Century Gothic" w:hAnsi="Century Gothic"/>
                <w:sz w:val="16"/>
                <w:szCs w:val="16"/>
              </w:rPr>
              <w:t xml:space="preserve">Single applicant, living with parents and working part time, with a student income of under </w:t>
            </w:r>
            <w:r w:rsidRPr="00A10095">
              <w:rPr>
                <w:rFonts w:ascii="Century Gothic" w:hAnsi="Century Gothic"/>
                <w:b/>
                <w:bCs/>
                <w:sz w:val="16"/>
                <w:szCs w:val="16"/>
              </w:rPr>
              <w:t>£3</w:t>
            </w:r>
            <w:r w:rsidR="005D39E9"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A10095">
              <w:rPr>
                <w:rFonts w:ascii="Century Gothic" w:hAnsi="Century Gothic"/>
                <w:b/>
                <w:bCs/>
                <w:sz w:val="16"/>
                <w:szCs w:val="16"/>
              </w:rPr>
              <w:t>,000</w:t>
            </w:r>
          </w:p>
          <w:p w14:paraId="49029885" w14:textId="77777777" w:rsidR="00453D5B" w:rsidRPr="00C73DFF" w:rsidRDefault="00453D5B" w:rsidP="005C2518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73DFF">
              <w:rPr>
                <w:rFonts w:ascii="Century Gothic" w:hAnsi="Century Gothic"/>
                <w:b/>
                <w:sz w:val="16"/>
                <w:szCs w:val="16"/>
              </w:rPr>
              <w:t>OR</w:t>
            </w:r>
          </w:p>
          <w:p w14:paraId="03A1F72B" w14:textId="1C25294D" w:rsidR="00453D5B" w:rsidRPr="00C73DFF" w:rsidRDefault="00453D5B" w:rsidP="005C25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73DFF">
              <w:rPr>
                <w:rFonts w:ascii="Century Gothic" w:hAnsi="Century Gothic"/>
                <w:sz w:val="16"/>
                <w:szCs w:val="16"/>
              </w:rPr>
              <w:t xml:space="preserve">Single applicant living independently and working, with a student income of less than </w:t>
            </w:r>
            <w:r w:rsidRPr="00F71EC7">
              <w:rPr>
                <w:rFonts w:ascii="Century Gothic" w:hAnsi="Century Gothic"/>
                <w:b/>
                <w:bCs/>
                <w:sz w:val="16"/>
                <w:szCs w:val="16"/>
              </w:rPr>
              <w:t>£3</w:t>
            </w:r>
            <w:r w:rsidR="005D39E9"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F71EC7">
              <w:rPr>
                <w:rFonts w:ascii="Century Gothic" w:hAnsi="Century Gothic"/>
                <w:b/>
                <w:bCs/>
                <w:sz w:val="16"/>
                <w:szCs w:val="16"/>
              </w:rPr>
              <w:t>,000</w:t>
            </w:r>
          </w:p>
          <w:p w14:paraId="7793DFB8" w14:textId="77777777" w:rsidR="00453D5B" w:rsidRPr="00C73DFF" w:rsidRDefault="00453D5B" w:rsidP="005C2518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73DFF">
              <w:rPr>
                <w:rFonts w:ascii="Century Gothic" w:hAnsi="Century Gothic"/>
                <w:b/>
                <w:sz w:val="16"/>
                <w:szCs w:val="16"/>
              </w:rPr>
              <w:t xml:space="preserve">OR </w:t>
            </w:r>
          </w:p>
          <w:p w14:paraId="7EFA9166" w14:textId="2A9A90E4" w:rsidR="00453D5B" w:rsidRPr="00C73DFF" w:rsidRDefault="00453D5B" w:rsidP="005C25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73DFF">
              <w:rPr>
                <w:rFonts w:ascii="Century Gothic" w:hAnsi="Century Gothic"/>
                <w:sz w:val="16"/>
                <w:szCs w:val="16"/>
              </w:rPr>
              <w:t>Under 2</w:t>
            </w:r>
            <w:r w:rsidR="00EB2450">
              <w:rPr>
                <w:rFonts w:ascii="Century Gothic" w:hAnsi="Century Gothic"/>
                <w:sz w:val="16"/>
                <w:szCs w:val="16"/>
              </w:rPr>
              <w:t>3</w:t>
            </w:r>
            <w:r w:rsidRPr="00C73DFF">
              <w:rPr>
                <w:rFonts w:ascii="Century Gothic" w:hAnsi="Century Gothic"/>
                <w:sz w:val="16"/>
                <w:szCs w:val="16"/>
              </w:rPr>
              <w:t xml:space="preserve"> with no income of their own and living with parent/Guardians whose income is less than </w:t>
            </w:r>
            <w:r w:rsidRPr="00F71EC7">
              <w:rPr>
                <w:rFonts w:ascii="Century Gothic" w:hAnsi="Century Gothic"/>
                <w:b/>
                <w:bCs/>
                <w:sz w:val="16"/>
                <w:szCs w:val="16"/>
              </w:rPr>
              <w:t>£3</w:t>
            </w:r>
            <w:r w:rsidR="005D39E9"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  <w:r w:rsidRPr="00F71EC7">
              <w:rPr>
                <w:rFonts w:ascii="Century Gothic" w:hAnsi="Century Gothic"/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8E41F" w14:textId="61700B97" w:rsidR="00453D5B" w:rsidRPr="00A265C1" w:rsidRDefault="00B53902" w:rsidP="005C2518">
            <w:pPr>
              <w:pStyle w:val="NoSpacing"/>
              <w:jc w:val="center"/>
            </w:pPr>
            <w:r>
              <w:t>Maximum of 70%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7306" w14:textId="77777777" w:rsidR="00453D5B" w:rsidRPr="00A265C1" w:rsidRDefault="00453D5B" w:rsidP="005C2518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D6719" w14:textId="77777777" w:rsidR="00453D5B" w:rsidRPr="00A265C1" w:rsidRDefault="00453D5B" w:rsidP="005C2518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691395" w14:textId="44861C71" w:rsidR="00453D5B" w:rsidRPr="00A265C1" w:rsidRDefault="00453D5B" w:rsidP="005C2518">
            <w:pPr>
              <w:pStyle w:val="NoSpacing"/>
              <w:jc w:val="center"/>
            </w:pPr>
            <w:r>
              <w:t>Maximum of £</w:t>
            </w:r>
            <w:r w:rsidR="00B53902">
              <w:t>150</w:t>
            </w:r>
            <w:r>
              <w:t xml:space="preserve"> Per Week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2274" w14:textId="77777777" w:rsidR="00453D5B" w:rsidRPr="00A265C1" w:rsidRDefault="00453D5B" w:rsidP="005C2518">
            <w:pPr>
              <w:jc w:val="center"/>
            </w:pPr>
            <w:r>
              <w:t>No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3A87D" w14:textId="77777777" w:rsidR="00453D5B" w:rsidRPr="00A265C1" w:rsidRDefault="00453D5B" w:rsidP="005C2518">
            <w:pPr>
              <w:pStyle w:val="NoSpacing"/>
              <w:jc w:val="center"/>
            </w:pPr>
            <w:r>
              <w:t>Yes</w:t>
            </w:r>
          </w:p>
        </w:tc>
      </w:tr>
      <w:tr w:rsidR="00453D5B" w:rsidRPr="00A265C1" w14:paraId="3FD39054" w14:textId="77777777" w:rsidTr="005C2518">
        <w:trPr>
          <w:trHeight w:val="928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C8F0" w14:textId="77777777" w:rsidR="00453D5B" w:rsidRPr="00A265C1" w:rsidRDefault="00453D5B" w:rsidP="005C2518">
            <w:pPr>
              <w:pStyle w:val="ListParagraph"/>
              <w:rPr>
                <w:b/>
                <w:bCs/>
              </w:rPr>
            </w:pPr>
            <w:r w:rsidRPr="00A265C1">
              <w:rPr>
                <w:b/>
                <w:bCs/>
              </w:rPr>
              <w:t> 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DA396" w14:textId="77777777" w:rsidR="00453D5B" w:rsidRPr="00C73DFF" w:rsidRDefault="00453D5B" w:rsidP="005C2518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D989D6" w14:textId="77777777" w:rsidR="00453D5B" w:rsidRPr="00A265C1" w:rsidRDefault="00453D5B" w:rsidP="005C2518"/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99023" w14:textId="77777777" w:rsidR="00453D5B" w:rsidRPr="00A265C1" w:rsidRDefault="00453D5B" w:rsidP="005C2518"/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6DCD" w14:textId="77777777" w:rsidR="00453D5B" w:rsidRPr="00A265C1" w:rsidRDefault="00453D5B" w:rsidP="005C2518"/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601834" w14:textId="77777777" w:rsidR="00453D5B" w:rsidRPr="00A265C1" w:rsidRDefault="00453D5B" w:rsidP="005C2518">
            <w:pPr>
              <w:ind w:left="283"/>
              <w:jc w:val="center"/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D6EB7" w14:textId="77777777" w:rsidR="00453D5B" w:rsidRPr="00A265C1" w:rsidRDefault="00453D5B" w:rsidP="005C2518">
            <w:pPr>
              <w:pStyle w:val="ListParagraph"/>
              <w:jc w:val="center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D24A4" w14:textId="77777777" w:rsidR="00453D5B" w:rsidRPr="00A265C1" w:rsidRDefault="00453D5B" w:rsidP="005C2518">
            <w:pPr>
              <w:ind w:left="283"/>
              <w:jc w:val="center"/>
            </w:pPr>
          </w:p>
        </w:tc>
      </w:tr>
    </w:tbl>
    <w:p w14:paraId="3254BDF5" w14:textId="4EB9ED68" w:rsidR="00453D5B" w:rsidRPr="00026862" w:rsidRDefault="00453D5B" w:rsidP="00453D5B">
      <w:pPr>
        <w:pStyle w:val="ListParagraph"/>
        <w:rPr>
          <w:b/>
          <w:sz w:val="18"/>
          <w:szCs w:val="18"/>
        </w:rPr>
      </w:pPr>
      <w:r>
        <w:br w:type="textWrapping" w:clear="all"/>
      </w:r>
      <w:r w:rsidRPr="00026862">
        <w:rPr>
          <w:b/>
          <w:sz w:val="18"/>
          <w:szCs w:val="18"/>
        </w:rPr>
        <w:t>We will only pay for childcare to cover students timetabled hours during college term time up to a maximum of £1</w:t>
      </w:r>
      <w:r w:rsidR="00DA1637">
        <w:rPr>
          <w:b/>
          <w:sz w:val="18"/>
          <w:szCs w:val="18"/>
        </w:rPr>
        <w:t>50</w:t>
      </w:r>
      <w:r w:rsidRPr="00026862">
        <w:rPr>
          <w:b/>
          <w:sz w:val="18"/>
          <w:szCs w:val="18"/>
        </w:rPr>
        <w:t xml:space="preserve">.00 per child per week.  Please be advised that the college terms may differ from school </w:t>
      </w:r>
      <w:proofErr w:type="gramStart"/>
      <w:r w:rsidRPr="00026862">
        <w:rPr>
          <w:b/>
          <w:sz w:val="18"/>
          <w:szCs w:val="18"/>
        </w:rPr>
        <w:t>terms</w:t>
      </w:r>
      <w:proofErr w:type="gramEnd"/>
      <w:r w:rsidRPr="00026862">
        <w:rPr>
          <w:b/>
          <w:sz w:val="18"/>
          <w:szCs w:val="18"/>
        </w:rPr>
        <w:t xml:space="preserve"> and you will be liable for any childcare booked during college holidays. Not all courses are eligible for funding, please check with student advice centre to confirm</w:t>
      </w:r>
      <w:r>
        <w:rPr>
          <w:b/>
          <w:sz w:val="18"/>
          <w:szCs w:val="18"/>
        </w:rPr>
        <w:t>.</w:t>
      </w:r>
    </w:p>
    <w:p w14:paraId="780838DE" w14:textId="77777777" w:rsidR="009E6146" w:rsidRDefault="009E6146"/>
    <w:sectPr w:rsidR="009E6146" w:rsidSect="006D2BB0">
      <w:headerReference w:type="default" r:id="rId6"/>
      <w:footerReference w:type="default" r:id="rId7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5627" w14:textId="77777777" w:rsidR="006C29C9" w:rsidRDefault="00073D0C">
      <w:pPr>
        <w:spacing w:after="0" w:line="240" w:lineRule="auto"/>
      </w:pPr>
      <w:r>
        <w:separator/>
      </w:r>
    </w:p>
  </w:endnote>
  <w:endnote w:type="continuationSeparator" w:id="0">
    <w:p w14:paraId="42FE36AD" w14:textId="77777777" w:rsidR="006C29C9" w:rsidRDefault="000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DD37" w14:textId="77777777" w:rsidR="004C3956" w:rsidRPr="006743C2" w:rsidRDefault="004C3956" w:rsidP="00C73DFF">
    <w:pPr>
      <w:pStyle w:val="Footer"/>
      <w:ind w:left="720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86D2" w14:textId="77777777" w:rsidR="006C29C9" w:rsidRDefault="00073D0C">
      <w:pPr>
        <w:spacing w:after="0" w:line="240" w:lineRule="auto"/>
      </w:pPr>
      <w:r>
        <w:separator/>
      </w:r>
    </w:p>
  </w:footnote>
  <w:footnote w:type="continuationSeparator" w:id="0">
    <w:p w14:paraId="3DB1EA21" w14:textId="77777777" w:rsidR="006C29C9" w:rsidRDefault="0007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6AB6" w14:textId="7788C4BA" w:rsidR="004C3956" w:rsidRDefault="00453D5B" w:rsidP="005E09D3">
    <w:pPr>
      <w:pStyle w:val="Header"/>
      <w:tabs>
        <w:tab w:val="left" w:pos="9360"/>
        <w:tab w:val="left" w:pos="10080"/>
        <w:tab w:val="left" w:pos="10800"/>
        <w:tab w:val="left" w:pos="11520"/>
        <w:tab w:val="left" w:pos="12396"/>
      </w:tabs>
    </w:pPr>
    <w:r w:rsidRPr="005E09D3">
      <w:rPr>
        <w:rFonts w:ascii="Century Gothic" w:hAnsi="Century Gothic"/>
        <w:b/>
        <w:color w:val="2F5496" w:themeColor="accent5" w:themeShade="BF"/>
        <w:sz w:val="28"/>
        <w:szCs w:val="28"/>
      </w:rPr>
      <w:t>Are you eligible</w:t>
    </w:r>
    <w:r>
      <w:rPr>
        <w:rFonts w:ascii="Century Gothic" w:hAnsi="Century Gothic"/>
        <w:b/>
        <w:color w:val="2F5496" w:themeColor="accent5" w:themeShade="BF"/>
        <w:sz w:val="28"/>
        <w:szCs w:val="28"/>
      </w:rPr>
      <w:t xml:space="preserve"> fo</w:t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>r financial support?</w:t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ab/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ab/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ab/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ab/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ab/>
      <w:t>20</w:t>
    </w:r>
    <w:r w:rsidR="005D39E9">
      <w:rPr>
        <w:rFonts w:ascii="Century Gothic" w:hAnsi="Century Gothic"/>
        <w:b/>
        <w:color w:val="2F5496" w:themeColor="accent5" w:themeShade="BF"/>
        <w:sz w:val="28"/>
        <w:szCs w:val="28"/>
      </w:rPr>
      <w:t>24</w:t>
    </w:r>
    <w:r w:rsidR="00073D0C">
      <w:rPr>
        <w:rFonts w:ascii="Century Gothic" w:hAnsi="Century Gothic"/>
        <w:b/>
        <w:color w:val="2F5496" w:themeColor="accent5" w:themeShade="BF"/>
        <w:sz w:val="28"/>
        <w:szCs w:val="28"/>
      </w:rPr>
      <w:t>/2</w:t>
    </w:r>
    <w:r w:rsidR="005D39E9">
      <w:rPr>
        <w:rFonts w:ascii="Century Gothic" w:hAnsi="Century Gothic"/>
        <w:b/>
        <w:color w:val="2F5496" w:themeColor="accent5" w:themeShade="BF"/>
        <w:sz w:val="28"/>
        <w:szCs w:val="28"/>
      </w:rPr>
      <w:t>5</w:t>
    </w:r>
    <w:r>
      <w:tab/>
    </w:r>
    <w:r>
      <w:rPr>
        <w:noProof/>
        <w:lang w:eastAsia="en-GB"/>
      </w:rPr>
      <w:drawing>
        <wp:inline distT="0" distB="0" distL="0" distR="0" wp14:anchorId="3FDBFD8F" wp14:editId="759B3FD9">
          <wp:extent cx="1386840" cy="409766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th College Logo CMYK_Normal - Bath Colle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39" cy="42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5B"/>
    <w:rsid w:val="00073D0C"/>
    <w:rsid w:val="000B7551"/>
    <w:rsid w:val="002901E1"/>
    <w:rsid w:val="0035442B"/>
    <w:rsid w:val="00453D5B"/>
    <w:rsid w:val="004C3956"/>
    <w:rsid w:val="005D39E9"/>
    <w:rsid w:val="00687AA8"/>
    <w:rsid w:val="006C29C9"/>
    <w:rsid w:val="007A29DD"/>
    <w:rsid w:val="009E6146"/>
    <w:rsid w:val="00A10095"/>
    <w:rsid w:val="00A471A8"/>
    <w:rsid w:val="00B53902"/>
    <w:rsid w:val="00CD4075"/>
    <w:rsid w:val="00DA1637"/>
    <w:rsid w:val="00DE41AB"/>
    <w:rsid w:val="00EB2450"/>
    <w:rsid w:val="00F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2193"/>
  <w15:chartTrackingRefBased/>
  <w15:docId w15:val="{99459992-CE66-48F9-8A9C-B44815E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5B"/>
  </w:style>
  <w:style w:type="paragraph" w:styleId="Footer">
    <w:name w:val="footer"/>
    <w:basedOn w:val="Normal"/>
    <w:link w:val="FooterChar"/>
    <w:uiPriority w:val="99"/>
    <w:unhideWhenUsed/>
    <w:rsid w:val="00453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5B"/>
  </w:style>
  <w:style w:type="paragraph" w:styleId="ListParagraph">
    <w:name w:val="List Paragraph"/>
    <w:basedOn w:val="Normal"/>
    <w:uiPriority w:val="34"/>
    <w:qFormat/>
    <w:rsid w:val="00453D5B"/>
    <w:pPr>
      <w:ind w:left="720"/>
      <w:contextualSpacing/>
    </w:pPr>
  </w:style>
  <w:style w:type="paragraph" w:styleId="NoSpacing">
    <w:name w:val="No Spacing"/>
    <w:uiPriority w:val="1"/>
    <w:qFormat/>
    <w:rsid w:val="00453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College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Chapman</dc:creator>
  <cp:keywords/>
  <dc:description/>
  <cp:lastModifiedBy>Sandra Bessell</cp:lastModifiedBy>
  <cp:revision>2</cp:revision>
  <dcterms:created xsi:type="dcterms:W3CDTF">2024-07-29T09:52:00Z</dcterms:created>
  <dcterms:modified xsi:type="dcterms:W3CDTF">2024-07-29T09:52:00Z</dcterms:modified>
</cp:coreProperties>
</file>